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28" w:rsidRPr="00AF30E3" w:rsidRDefault="008B3928" w:rsidP="00CB636F">
      <w:pPr>
        <w:spacing w:after="0" w:line="240" w:lineRule="auto"/>
        <w:jc w:val="center"/>
        <w:rPr>
          <w:rFonts w:ascii="Arial" w:hAnsi="Arial" w:cs="Arial"/>
          <w:b/>
          <w:szCs w:val="24"/>
        </w:rPr>
      </w:pPr>
      <w:bookmarkStart w:id="0" w:name="_GoBack"/>
      <w:bookmarkEnd w:id="0"/>
      <w:r w:rsidRPr="00AF30E3">
        <w:rPr>
          <w:rFonts w:ascii="Arial" w:hAnsi="Arial" w:cs="Arial"/>
          <w:b/>
          <w:szCs w:val="24"/>
        </w:rPr>
        <w:t xml:space="preserve">PROGRAMA DE ALUMNOS </w:t>
      </w:r>
      <w:r w:rsidR="004E3180">
        <w:rPr>
          <w:rFonts w:ascii="Arial" w:hAnsi="Arial" w:cs="Arial"/>
          <w:b/>
          <w:szCs w:val="24"/>
        </w:rPr>
        <w:t xml:space="preserve">REGULARES </w:t>
      </w:r>
      <w:r w:rsidR="00E01D86">
        <w:rPr>
          <w:rFonts w:ascii="Arial" w:hAnsi="Arial" w:cs="Arial"/>
          <w:b/>
          <w:szCs w:val="24"/>
        </w:rPr>
        <w:t xml:space="preserve"> </w:t>
      </w:r>
    </w:p>
    <w:p w:rsidR="008B3928" w:rsidRPr="00AF30E3" w:rsidRDefault="005A4C99" w:rsidP="00CB636F">
      <w:pPr>
        <w:spacing w:after="0" w:line="240" w:lineRule="auto"/>
        <w:jc w:val="center"/>
        <w:rPr>
          <w:rFonts w:ascii="Arial" w:hAnsi="Arial" w:cs="Arial"/>
          <w:b/>
          <w:szCs w:val="24"/>
        </w:rPr>
      </w:pPr>
      <w:r>
        <w:rPr>
          <w:rFonts w:ascii="Arial" w:hAnsi="Arial" w:cs="Arial"/>
          <w:b/>
          <w:szCs w:val="24"/>
        </w:rPr>
        <w:t>CICLO LECTIVO 2021</w:t>
      </w:r>
    </w:p>
    <w:p w:rsidR="008B3928" w:rsidRPr="00AF30E3" w:rsidRDefault="008B3928" w:rsidP="00CB636F">
      <w:pPr>
        <w:spacing w:after="0" w:line="240" w:lineRule="auto"/>
        <w:jc w:val="center"/>
        <w:rPr>
          <w:rFonts w:ascii="Arial" w:hAnsi="Arial" w:cs="Arial"/>
          <w:b/>
          <w:szCs w:val="24"/>
        </w:rPr>
      </w:pPr>
      <w:r w:rsidRPr="00AF30E3">
        <w:rPr>
          <w:rFonts w:ascii="Arial" w:hAnsi="Arial" w:cs="Arial"/>
          <w:b/>
          <w:szCs w:val="24"/>
          <w:u w:val="single"/>
        </w:rPr>
        <w:t>MATERIA</w:t>
      </w:r>
      <w:r w:rsidRPr="00AF30E3">
        <w:rPr>
          <w:rFonts w:ascii="Arial" w:hAnsi="Arial" w:cs="Arial"/>
          <w:b/>
          <w:szCs w:val="24"/>
        </w:rPr>
        <w:t xml:space="preserve">: CONTABILIDAD </w:t>
      </w:r>
    </w:p>
    <w:p w:rsidR="008B3928" w:rsidRPr="00AF30E3" w:rsidRDefault="008B3928" w:rsidP="00CB636F">
      <w:pPr>
        <w:spacing w:after="0" w:line="240" w:lineRule="auto"/>
        <w:jc w:val="center"/>
        <w:rPr>
          <w:rFonts w:ascii="Arial" w:hAnsi="Arial" w:cs="Arial"/>
          <w:b/>
          <w:szCs w:val="24"/>
        </w:rPr>
      </w:pPr>
      <w:r w:rsidRPr="00AF30E3">
        <w:rPr>
          <w:rFonts w:ascii="Arial" w:hAnsi="Arial" w:cs="Arial"/>
          <w:b/>
          <w:szCs w:val="24"/>
        </w:rPr>
        <w:t>5TO  AÑO DIVISIÓN   A</w:t>
      </w:r>
    </w:p>
    <w:p w:rsidR="008B3928" w:rsidRPr="00AF30E3" w:rsidRDefault="008B3928" w:rsidP="00CB636F">
      <w:pPr>
        <w:spacing w:after="0" w:line="240" w:lineRule="auto"/>
        <w:jc w:val="center"/>
        <w:rPr>
          <w:rFonts w:ascii="Arial" w:hAnsi="Arial" w:cs="Arial"/>
          <w:b/>
          <w:szCs w:val="24"/>
          <w:lang w:val="es-ES_tradnl" w:eastAsia="es-ES_tradnl"/>
        </w:rPr>
      </w:pPr>
      <w:r w:rsidRPr="00AF30E3">
        <w:rPr>
          <w:rFonts w:ascii="Arial" w:hAnsi="Arial" w:cs="Arial"/>
          <w:b/>
          <w:szCs w:val="24"/>
          <w:u w:val="single"/>
          <w:lang w:val="es-ES_tradnl" w:eastAsia="es-ES_tradnl"/>
        </w:rPr>
        <w:t>PROFESOR</w:t>
      </w:r>
      <w:r w:rsidRPr="00AF30E3">
        <w:rPr>
          <w:rFonts w:ascii="Arial" w:hAnsi="Arial" w:cs="Arial"/>
          <w:b/>
          <w:szCs w:val="24"/>
          <w:lang w:val="es-ES_tradnl" w:eastAsia="es-ES_tradnl"/>
        </w:rPr>
        <w:t xml:space="preserve">: Paineman Anita </w:t>
      </w:r>
      <w:r w:rsidR="005A4C99">
        <w:rPr>
          <w:rFonts w:ascii="Arial" w:hAnsi="Arial" w:cs="Arial"/>
          <w:b/>
          <w:szCs w:val="24"/>
          <w:lang w:val="es-ES_tradnl" w:eastAsia="es-ES_tradnl"/>
        </w:rPr>
        <w:t>– Sonia Salinas</w:t>
      </w:r>
    </w:p>
    <w:p w:rsidR="00AF30E3" w:rsidRPr="00AF30E3" w:rsidRDefault="00AF30E3" w:rsidP="00AF30E3">
      <w:pPr>
        <w:autoSpaceDE w:val="0"/>
        <w:autoSpaceDN w:val="0"/>
        <w:adjustRightInd w:val="0"/>
        <w:ind w:right="170"/>
        <w:jc w:val="both"/>
        <w:rPr>
          <w:rFonts w:ascii="Tahoma" w:hAnsi="Tahoma" w:cs="Tahoma"/>
          <w:b/>
          <w:bCs/>
          <w:sz w:val="20"/>
          <w:u w:val="single"/>
        </w:rPr>
      </w:pPr>
    </w:p>
    <w:p w:rsidR="00AF30E3" w:rsidRPr="00AF30E3" w:rsidRDefault="00AF30E3" w:rsidP="00AF30E3">
      <w:pPr>
        <w:autoSpaceDE w:val="0"/>
        <w:autoSpaceDN w:val="0"/>
        <w:adjustRightInd w:val="0"/>
        <w:ind w:right="170"/>
        <w:jc w:val="both"/>
        <w:rPr>
          <w:rFonts w:ascii="Tahoma" w:hAnsi="Tahoma" w:cs="Tahoma"/>
          <w:b/>
          <w:bCs/>
          <w:sz w:val="21"/>
          <w:szCs w:val="21"/>
        </w:rPr>
      </w:pPr>
      <w:r w:rsidRPr="00AF30E3">
        <w:rPr>
          <w:rFonts w:ascii="Tahoma" w:hAnsi="Tahoma" w:cs="Tahoma"/>
          <w:b/>
          <w:bCs/>
          <w:sz w:val="21"/>
          <w:szCs w:val="21"/>
          <w:u w:val="single"/>
        </w:rPr>
        <w:t>Unidad I</w:t>
      </w:r>
      <w:r w:rsidRPr="00AF30E3">
        <w:rPr>
          <w:rFonts w:ascii="Tahoma" w:hAnsi="Tahoma" w:cs="Tahoma"/>
          <w:b/>
          <w:bCs/>
          <w:sz w:val="21"/>
          <w:szCs w:val="21"/>
        </w:rPr>
        <w:t xml:space="preserve">: Estados contables. Ajustes </w:t>
      </w:r>
    </w:p>
    <w:p w:rsidR="00AF30E3" w:rsidRPr="00AF30E3" w:rsidRDefault="00AF30E3" w:rsidP="00AF30E3">
      <w:pPr>
        <w:autoSpaceDE w:val="0"/>
        <w:autoSpaceDN w:val="0"/>
        <w:adjustRightInd w:val="0"/>
        <w:ind w:right="170"/>
        <w:jc w:val="both"/>
        <w:rPr>
          <w:rFonts w:ascii="Tahoma" w:hAnsi="Tahoma" w:cs="Tahoma"/>
          <w:bCs/>
          <w:sz w:val="21"/>
          <w:szCs w:val="21"/>
        </w:rPr>
      </w:pPr>
      <w:r w:rsidRPr="00AF30E3">
        <w:rPr>
          <w:rFonts w:ascii="Tahoma" w:hAnsi="Tahoma" w:cs="Tahoma"/>
          <w:bCs/>
          <w:sz w:val="21"/>
          <w:szCs w:val="21"/>
          <w:u w:val="single"/>
        </w:rPr>
        <w:t>PREVISIONES:</w:t>
      </w:r>
      <w:r w:rsidRPr="00AF30E3">
        <w:rPr>
          <w:rFonts w:ascii="Tahoma" w:hAnsi="Tahoma" w:cs="Tahoma"/>
          <w:bCs/>
          <w:sz w:val="21"/>
          <w:szCs w:val="21"/>
        </w:rPr>
        <w:t xml:space="preserve"> Concepto. Clasificación. Constitución, utilización, recuero. Análisis de cuentas. Ejercicios prácticos. </w:t>
      </w:r>
      <w:r w:rsidRPr="00AF30E3">
        <w:rPr>
          <w:rFonts w:ascii="Tahoma" w:hAnsi="Tahoma" w:cs="Tahoma"/>
          <w:bCs/>
          <w:sz w:val="21"/>
          <w:szCs w:val="21"/>
          <w:u w:val="single"/>
        </w:rPr>
        <w:t>PASIVOS:</w:t>
      </w:r>
      <w:r w:rsidRPr="00AF30E3">
        <w:rPr>
          <w:rFonts w:ascii="Tahoma" w:hAnsi="Tahoma" w:cs="Tahoma"/>
          <w:bCs/>
          <w:sz w:val="21"/>
          <w:szCs w:val="21"/>
        </w:rPr>
        <w:t xml:space="preserve"> Deudas. Conceptos y clasificación. Deudas comerciales, deudas bancarias, deudas con garantía real y otras. Ejercicios prácticos. </w:t>
      </w:r>
      <w:r w:rsidRPr="00AF30E3">
        <w:rPr>
          <w:rFonts w:ascii="Tahoma" w:hAnsi="Tahoma" w:cs="Tahoma"/>
          <w:bCs/>
          <w:sz w:val="21"/>
          <w:szCs w:val="21"/>
          <w:u w:val="single"/>
        </w:rPr>
        <w:t>PATRIMONIO NETO:</w:t>
      </w:r>
      <w:r w:rsidRPr="00AF30E3">
        <w:rPr>
          <w:rFonts w:ascii="Tahoma" w:hAnsi="Tahoma" w:cs="Tahoma"/>
          <w:bCs/>
          <w:sz w:val="21"/>
          <w:szCs w:val="21"/>
        </w:rPr>
        <w:t xml:space="preserve"> Capital suscripto. Ajustes de capital. Prima de emisión. Ganancia reservada. Resultado no signado. </w:t>
      </w:r>
      <w:r w:rsidRPr="00AF30E3">
        <w:rPr>
          <w:rFonts w:ascii="Tahoma" w:hAnsi="Tahoma" w:cs="Tahoma"/>
          <w:bCs/>
          <w:sz w:val="21"/>
          <w:szCs w:val="21"/>
          <w:u w:val="single"/>
        </w:rPr>
        <w:t xml:space="preserve">PLAN DE CUENTAS: </w:t>
      </w:r>
      <w:r w:rsidRPr="00AF30E3">
        <w:rPr>
          <w:rFonts w:ascii="Tahoma" w:hAnsi="Tahoma" w:cs="Tahoma"/>
          <w:bCs/>
          <w:sz w:val="21"/>
          <w:szCs w:val="21"/>
        </w:rPr>
        <w:t xml:space="preserve">Concepto. Finalidad. Ordenamiento. Codificación: concepto, distintas clases de codificación (numérica y decimal). Modelo de cuentas y de manual de cuentas. </w:t>
      </w:r>
      <w:r w:rsidRPr="00AF30E3">
        <w:rPr>
          <w:rFonts w:ascii="Tahoma" w:hAnsi="Tahoma" w:cs="Tahoma"/>
          <w:bCs/>
          <w:sz w:val="21"/>
          <w:szCs w:val="21"/>
          <w:u w:val="single"/>
        </w:rPr>
        <w:t>CUENTAS:</w:t>
      </w:r>
      <w:r w:rsidRPr="00AF30E3">
        <w:rPr>
          <w:rFonts w:ascii="Tahoma" w:hAnsi="Tahoma" w:cs="Tahoma"/>
          <w:bCs/>
          <w:sz w:val="21"/>
          <w:szCs w:val="21"/>
        </w:rPr>
        <w:t xml:space="preserve"> Concepto, partes, saldo, clasificación simple y compleja. Diferencias entre plan de cuentas y estados contables. Actividades de aplicación. </w:t>
      </w:r>
    </w:p>
    <w:p w:rsidR="00AF30E3" w:rsidRPr="00AF30E3" w:rsidRDefault="00AF30E3" w:rsidP="00AF30E3">
      <w:pPr>
        <w:autoSpaceDE w:val="0"/>
        <w:autoSpaceDN w:val="0"/>
        <w:adjustRightInd w:val="0"/>
        <w:ind w:right="170"/>
        <w:jc w:val="both"/>
        <w:rPr>
          <w:rFonts w:ascii="Tahoma" w:hAnsi="Tahoma" w:cs="Tahoma"/>
          <w:b/>
          <w:bCs/>
          <w:sz w:val="21"/>
          <w:szCs w:val="21"/>
        </w:rPr>
      </w:pPr>
      <w:r w:rsidRPr="00AF30E3">
        <w:rPr>
          <w:rFonts w:ascii="Tahoma" w:hAnsi="Tahoma" w:cs="Tahoma"/>
          <w:b/>
          <w:bCs/>
          <w:sz w:val="21"/>
          <w:szCs w:val="21"/>
          <w:u w:val="single"/>
        </w:rPr>
        <w:t>Unidad II</w:t>
      </w:r>
      <w:r w:rsidRPr="00AF30E3">
        <w:rPr>
          <w:rFonts w:ascii="Tahoma" w:hAnsi="Tahoma" w:cs="Tahoma"/>
          <w:b/>
          <w:bCs/>
          <w:sz w:val="21"/>
          <w:szCs w:val="21"/>
        </w:rPr>
        <w:t xml:space="preserve">: Presentación de Estados contables </w:t>
      </w:r>
    </w:p>
    <w:p w:rsidR="00AF30E3" w:rsidRPr="00AF30E3" w:rsidRDefault="00AF30E3" w:rsidP="00AF30E3">
      <w:pPr>
        <w:autoSpaceDE w:val="0"/>
        <w:autoSpaceDN w:val="0"/>
        <w:adjustRightInd w:val="0"/>
        <w:ind w:right="170"/>
        <w:jc w:val="both"/>
        <w:rPr>
          <w:rFonts w:ascii="Tahoma" w:hAnsi="Tahoma" w:cs="Tahoma"/>
          <w:sz w:val="21"/>
          <w:szCs w:val="21"/>
        </w:rPr>
      </w:pPr>
      <w:r w:rsidRPr="00AF30E3">
        <w:rPr>
          <w:rFonts w:ascii="Tahoma" w:hAnsi="Tahoma" w:cs="Tahoma"/>
          <w:bCs/>
          <w:sz w:val="21"/>
          <w:szCs w:val="21"/>
        </w:rPr>
        <w:t xml:space="preserve">Normas de exposición contable. Concepto, clases. Resoluciones técnicas vigentes, características de cada una de ellas. </w:t>
      </w:r>
      <w:r w:rsidRPr="00AF30E3">
        <w:rPr>
          <w:rFonts w:ascii="Tahoma" w:hAnsi="Tahoma" w:cs="Tahoma"/>
          <w:bCs/>
          <w:sz w:val="21"/>
          <w:szCs w:val="21"/>
          <w:u w:val="single"/>
        </w:rPr>
        <w:t>ESTADOS CONTABLES BÁSICOS</w:t>
      </w:r>
      <w:r w:rsidRPr="00AF30E3">
        <w:rPr>
          <w:rFonts w:ascii="Tahoma" w:hAnsi="Tahoma" w:cs="Tahoma"/>
          <w:bCs/>
          <w:sz w:val="21"/>
          <w:szCs w:val="21"/>
        </w:rPr>
        <w:t xml:space="preserve">: Estado de situación patrimonial, concepto, estructura y clasificación. Activos corrientes y no corrientes. Pasivos corrientes y no corrientes. Patrimonio Neto. Rubros. Ajustes de los rubros y confección de estados contables. Arqueo de caja. Conciliación bancaria. Inversiones. Depuración de deudores. Previsiones. Bienes de cambio. Determinación del costo a través del método global. Amortizaciones y venta de Bienes de Uso. Activos Intangibles. Devenga miento de cobro y pago por anticipado. Deudas bancarias. Deudas con Garantía Real.  </w:t>
      </w:r>
    </w:p>
    <w:p w:rsidR="00AF30E3" w:rsidRPr="00AF30E3" w:rsidRDefault="00AF30E3" w:rsidP="00AF30E3">
      <w:pPr>
        <w:autoSpaceDE w:val="0"/>
        <w:autoSpaceDN w:val="0"/>
        <w:adjustRightInd w:val="0"/>
        <w:ind w:right="170"/>
        <w:jc w:val="both"/>
        <w:rPr>
          <w:rFonts w:ascii="Tahoma" w:hAnsi="Tahoma" w:cs="Tahoma"/>
          <w:sz w:val="21"/>
          <w:szCs w:val="21"/>
        </w:rPr>
      </w:pPr>
      <w:r w:rsidRPr="00AF30E3">
        <w:rPr>
          <w:rFonts w:ascii="Tahoma" w:hAnsi="Tahoma" w:cs="Tahoma"/>
          <w:sz w:val="21"/>
          <w:szCs w:val="21"/>
        </w:rPr>
        <w:t xml:space="preserve">Estado de resultado: Estructura. Resultado ordinario y extraordinario. Ejercicios de aplicación. Estado de evolución del patrimonio neto. Aporte a los propietarios, resultados acumulados. Modelo según resoluciones contables. Ejercicios de aplicación integradores. </w:t>
      </w:r>
    </w:p>
    <w:p w:rsidR="00AF30E3" w:rsidRPr="00AF30E3" w:rsidRDefault="00AF30E3" w:rsidP="00AF30E3">
      <w:pPr>
        <w:autoSpaceDE w:val="0"/>
        <w:autoSpaceDN w:val="0"/>
        <w:adjustRightInd w:val="0"/>
        <w:ind w:right="170"/>
        <w:jc w:val="both"/>
        <w:rPr>
          <w:rFonts w:ascii="Tahoma" w:hAnsi="Tahoma" w:cs="Tahoma"/>
          <w:b/>
          <w:sz w:val="21"/>
          <w:szCs w:val="21"/>
          <w:u w:val="single"/>
        </w:rPr>
      </w:pPr>
      <w:r w:rsidRPr="00AF30E3">
        <w:rPr>
          <w:rFonts w:ascii="Tahoma" w:hAnsi="Tahoma" w:cs="Tahoma"/>
          <w:b/>
          <w:sz w:val="21"/>
          <w:szCs w:val="21"/>
          <w:u w:val="single"/>
        </w:rPr>
        <w:t>Unidad III</w:t>
      </w:r>
      <w:r w:rsidRPr="00AF30E3">
        <w:rPr>
          <w:rFonts w:ascii="Tahoma" w:hAnsi="Tahoma" w:cs="Tahoma"/>
          <w:b/>
          <w:sz w:val="21"/>
          <w:szCs w:val="21"/>
        </w:rPr>
        <w:t>: Análisis e interpretación de los Estados contables</w:t>
      </w:r>
    </w:p>
    <w:p w:rsidR="00AF30E3" w:rsidRPr="00AF30E3" w:rsidRDefault="00AF30E3" w:rsidP="00AF30E3">
      <w:pPr>
        <w:autoSpaceDE w:val="0"/>
        <w:autoSpaceDN w:val="0"/>
        <w:adjustRightInd w:val="0"/>
        <w:ind w:right="170"/>
        <w:jc w:val="both"/>
        <w:rPr>
          <w:rFonts w:ascii="Tahoma" w:hAnsi="Tahoma" w:cs="Tahoma"/>
          <w:sz w:val="21"/>
          <w:szCs w:val="21"/>
        </w:rPr>
      </w:pPr>
      <w:r w:rsidRPr="00AF30E3">
        <w:rPr>
          <w:rFonts w:ascii="Tahoma" w:hAnsi="Tahoma" w:cs="Tahoma"/>
          <w:sz w:val="21"/>
          <w:szCs w:val="21"/>
        </w:rPr>
        <w:t xml:space="preserve">Análisis e interpretación de Estados contables. Concepto y finalidad. Números índice (ratios). Índice de solvencia. Endeudamiento. Rentabilidad del capital. Inmovilización del capital. De costo de ventas. Ganancia bruta. Ganancia neta. Gastos operativos. Gastos de ventas. Gastos de administración. Gastos de financiación. Plazo medio de pagos a clientes. Plazo medio de pago a proveedores. Índice de liquidez. Prueba acida. Dupont. Disponibilidad crediticia. Análisis horizontal y vertical. Análisis de ejercicios y de un ciclo. Trabajos prácticos. Cálculos, formas y elaboración de informes financieros y económicos. </w:t>
      </w:r>
    </w:p>
    <w:p w:rsidR="00CB636F" w:rsidRPr="00AF30E3" w:rsidRDefault="00CB636F" w:rsidP="00CB636F">
      <w:pPr>
        <w:autoSpaceDE w:val="0"/>
        <w:autoSpaceDN w:val="0"/>
        <w:adjustRightInd w:val="0"/>
        <w:spacing w:after="0" w:line="240" w:lineRule="auto"/>
        <w:jc w:val="both"/>
        <w:rPr>
          <w:rFonts w:ascii="Tahoma" w:hAnsi="Tahoma" w:cs="Tahoma"/>
          <w:b/>
          <w:sz w:val="21"/>
          <w:szCs w:val="21"/>
          <w:u w:val="single"/>
        </w:rPr>
      </w:pPr>
      <w:r w:rsidRPr="00AF30E3">
        <w:rPr>
          <w:rFonts w:ascii="Tahoma" w:hAnsi="Tahoma" w:cs="Tahoma"/>
          <w:b/>
          <w:sz w:val="21"/>
          <w:szCs w:val="21"/>
          <w:u w:val="single"/>
        </w:rPr>
        <w:t>Bibliografía:</w:t>
      </w:r>
    </w:p>
    <w:p w:rsidR="00614CE6" w:rsidRPr="00AF30E3" w:rsidRDefault="00614CE6" w:rsidP="00CB636F">
      <w:pPr>
        <w:autoSpaceDE w:val="0"/>
        <w:autoSpaceDN w:val="0"/>
        <w:adjustRightInd w:val="0"/>
        <w:spacing w:after="0" w:line="240" w:lineRule="auto"/>
        <w:jc w:val="both"/>
        <w:rPr>
          <w:rFonts w:ascii="Tahoma" w:hAnsi="Tahoma" w:cs="Tahoma"/>
          <w:sz w:val="21"/>
          <w:szCs w:val="21"/>
        </w:rPr>
      </w:pPr>
    </w:p>
    <w:p w:rsidR="00CB636F" w:rsidRPr="00AF30E3" w:rsidRDefault="00CB636F" w:rsidP="00614CE6">
      <w:pPr>
        <w:pStyle w:val="ListParagraph"/>
        <w:numPr>
          <w:ilvl w:val="0"/>
          <w:numId w:val="2"/>
        </w:numPr>
        <w:autoSpaceDE w:val="0"/>
        <w:autoSpaceDN w:val="0"/>
        <w:adjustRightInd w:val="0"/>
        <w:spacing w:after="0" w:line="240" w:lineRule="auto"/>
        <w:jc w:val="both"/>
        <w:rPr>
          <w:rFonts w:ascii="Tahoma" w:hAnsi="Tahoma" w:cs="Tahoma"/>
          <w:sz w:val="21"/>
          <w:szCs w:val="21"/>
        </w:rPr>
      </w:pPr>
      <w:r w:rsidRPr="00AF30E3">
        <w:rPr>
          <w:rFonts w:ascii="Tahoma" w:hAnsi="Tahoma" w:cs="Tahoma"/>
          <w:sz w:val="21"/>
          <w:szCs w:val="21"/>
        </w:rPr>
        <w:t xml:space="preserve">Sistema de Información Contable 2 y 3 de Angrisani- Lopez. </w:t>
      </w:r>
    </w:p>
    <w:p w:rsidR="00CB636F" w:rsidRPr="00AF30E3" w:rsidRDefault="00CB636F" w:rsidP="00614CE6">
      <w:pPr>
        <w:pStyle w:val="ListParagraph"/>
        <w:numPr>
          <w:ilvl w:val="0"/>
          <w:numId w:val="2"/>
        </w:numPr>
        <w:autoSpaceDE w:val="0"/>
        <w:autoSpaceDN w:val="0"/>
        <w:adjustRightInd w:val="0"/>
        <w:spacing w:after="0" w:line="240" w:lineRule="auto"/>
        <w:jc w:val="both"/>
        <w:rPr>
          <w:rFonts w:ascii="Tahoma" w:hAnsi="Tahoma" w:cs="Tahoma"/>
          <w:sz w:val="21"/>
          <w:szCs w:val="21"/>
        </w:rPr>
      </w:pPr>
      <w:r w:rsidRPr="00AF30E3">
        <w:rPr>
          <w:rFonts w:ascii="Tahoma" w:hAnsi="Tahoma" w:cs="Tahoma"/>
          <w:sz w:val="21"/>
          <w:szCs w:val="21"/>
        </w:rPr>
        <w:t xml:space="preserve">Fernández Duran. Contabilidad 2 y 3 </w:t>
      </w:r>
    </w:p>
    <w:p w:rsidR="008B3928" w:rsidRPr="00AF30E3" w:rsidRDefault="00CB636F" w:rsidP="00A20D2D">
      <w:pPr>
        <w:pStyle w:val="ListParagraph"/>
        <w:numPr>
          <w:ilvl w:val="0"/>
          <w:numId w:val="2"/>
        </w:numPr>
        <w:autoSpaceDE w:val="0"/>
        <w:autoSpaceDN w:val="0"/>
        <w:adjustRightInd w:val="0"/>
        <w:spacing w:after="0" w:line="240" w:lineRule="auto"/>
        <w:jc w:val="both"/>
        <w:rPr>
          <w:rFonts w:ascii="Tahoma" w:hAnsi="Tahoma" w:cs="Tahoma"/>
          <w:sz w:val="21"/>
          <w:szCs w:val="21"/>
        </w:rPr>
      </w:pPr>
      <w:r w:rsidRPr="00AF30E3">
        <w:rPr>
          <w:rFonts w:ascii="Tahoma" w:hAnsi="Tahoma" w:cs="Tahoma"/>
          <w:sz w:val="21"/>
          <w:szCs w:val="21"/>
        </w:rPr>
        <w:t xml:space="preserve">Churri, Dominik. Rivero. </w:t>
      </w:r>
    </w:p>
    <w:p w:rsidR="007A3335" w:rsidRPr="00AF30E3" w:rsidRDefault="007A3335" w:rsidP="008B3928">
      <w:pPr>
        <w:jc w:val="center"/>
        <w:rPr>
          <w:rFonts w:ascii="Tahoma" w:hAnsi="Tahoma" w:cs="Tahoma"/>
          <w:sz w:val="21"/>
          <w:szCs w:val="21"/>
        </w:rPr>
      </w:pPr>
    </w:p>
    <w:sectPr w:rsidR="007A3335" w:rsidRPr="00AF30E3" w:rsidSect="007A33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E76DB"/>
    <w:multiLevelType w:val="hybridMultilevel"/>
    <w:tmpl w:val="DBBA1E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86C2060"/>
    <w:multiLevelType w:val="hybridMultilevel"/>
    <w:tmpl w:val="E8F6ED4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28"/>
    <w:rsid w:val="00045308"/>
    <w:rsid w:val="001E2B9F"/>
    <w:rsid w:val="0043347D"/>
    <w:rsid w:val="004E3180"/>
    <w:rsid w:val="005A4C99"/>
    <w:rsid w:val="00614CE6"/>
    <w:rsid w:val="006B639D"/>
    <w:rsid w:val="007A3335"/>
    <w:rsid w:val="007F6076"/>
    <w:rsid w:val="008B3928"/>
    <w:rsid w:val="008E70AC"/>
    <w:rsid w:val="009B0407"/>
    <w:rsid w:val="00AF30E3"/>
    <w:rsid w:val="00CB636F"/>
    <w:rsid w:val="00E01D86"/>
    <w:rsid w:val="00EA4E02"/>
    <w:rsid w:val="00EE60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928"/>
    <w:rPr>
      <w:rFonts w:ascii="Calibri" w:eastAsia="Calibri" w:hAnsi="Calibri" w:cs="Times New Roman"/>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4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928"/>
    <w:rPr>
      <w:rFonts w:ascii="Calibri" w:eastAsia="Calibri" w:hAnsi="Calibri" w:cs="Times New Roman"/>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2275</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Acer</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vivianita</cp:lastModifiedBy>
  <cp:revision>2</cp:revision>
  <cp:lastPrinted>2020-05-15T00:40:00Z</cp:lastPrinted>
  <dcterms:created xsi:type="dcterms:W3CDTF">2021-05-25T23:46:00Z</dcterms:created>
  <dcterms:modified xsi:type="dcterms:W3CDTF">2021-05-25T23:46:00Z</dcterms:modified>
</cp:coreProperties>
</file>